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148 vom 21. Juli 1981</w:t>
      </w:r>
    </w:p>
    <w:p>
      <w:r>
        <w:t>Bundesgericht (BGE), 1981-07-21, DE</w:t>
      </w:r>
    </w:p>
    <w:p>
      <w:r>
        <w:rPr>
          <w:b/>
        </w:rPr>
        <w:t xml:space="preserve">Quelle: </w:t>
      </w:r>
      <w:r>
        <w:t>https://mcp.opencaselaw.ch/entscheid/bge_107 IA 148</w:t>
      </w:r>
    </w:p>
    <w:p>
      <w:r>
        <w:t>FR: BGE 107 IA 148 du 21 juillet 1981</w:t>
      </w:r>
    </w:p>
    <w:p>
      <w:r>
        <w:t>IT: BGE 107 IA 148 del 21 luglio 1981</w:t>
      </w:r>
    </w:p>
    <w:p>
      <w:pPr>
        <w:pStyle w:val="Heading2"/>
      </w:pPr>
      <w:r>
        <w:t>Regeste</w:t>
      </w:r>
    </w:p>
    <w:p>
      <w:r>
        <w:t>Regeste Persönliche Freiheit, Art. 8 EMRK; Schutz des Briefgeheimnisses des Untersuchungsgefangenen. Bei der Briefkontrolle ist darauf zu achten, dass das Personal, welches die Post vom Untersuchungsrichter zum Untersuchungsgefangenen und umgekehrt befördern muss, nicht in die Briefe Einsicht nehmen kann.</w:t>
      </w:r>
    </w:p>
    <w:p>
      <w:pPr>
        <w:pStyle w:val="Heading2"/>
      </w:pPr>
      <w:r>
        <w:t>Erwägungen</w:t>
      </w:r>
    </w:p>
    <w:p>
      <w:r>
        <w:rPr>
          <w:b/>
        </w:rPr>
        <w:t>E. 2</w:t>
      </w:r>
    </w:p>
    <w:p>
      <w:r>
        <w:t>Wenn der Untersuchungsrichter die für den Beschwerdeführer eingehende Post nach der Kontrolle unverschlossen weitergibt, kann das Gefängnispersonal, das die Briefe vom Untersuchungsrichter zum Untersuchungsgefangenen befördern muss, vom Inhalt der für den Beschwerdeführer bestimmten Post Kenntnis nehmen. Es steht somit ein Eingriff in das Briefgeheimnis zur Diskussion. Art. 36 Abs. 4 BV , der die Unverletzlichkeit des Post- und Telegraphengeheimnisses gewährleistet, kommt hier jedoch nicht zur Anwendung, denn das Briefgeheimnis fällt nur insoweit in den Schutzbereich dieser Vorschrift, als ein Eingriff durch die Angestellten der Postverwaltung in Frage steht (BURCKHARDT, Kommentar zur schweizerischen Bundesverfassung, 3. Aufl. 1931, S. 313; FRITZ FLEINER, Schweizerisches Bundesstaatsrecht, S. 505). Der Beschwerdeführer stützt sich denn auch zu Recht nicht auf Art. 36 Abs. 4 BV , sondern beruft sich auf das ungeschriebene verfassungsmässige Recht der persönlichen Freiheit bzw. der Intimsphäre sowie auf die Europäische Menschenrechtskonvention (EMRK). Es ist zu prüfen, ob das Vorgehen des Untersuchungsrichters unter diesen beiden Gesichtspunkten zulässig ist. Gemäss Art. 122 Abs. 2 des Gesetzes über das Strafverfahren des Kantons Bern (StrV) ist gegenüber Untersuchungsgefangenen jede unnötige Strenge untersagt. Sie sollen in ihrer persönlichen Freiheit nur soweit beschränkt werden, als es der Untersuchungszweck erheischt. Diese kantonalrechtliche Bestimmung steht mit der vom Bundesgericht aus dem verfassungsmässigen Recht auf persönliche Freiheit in Verbindung mit dem Grundsatz der Verhältnismässigkeit abgeleiteten Regel im Einklang, wonach die Freiheit des Untersuchungsgefangenen nur soweit beschränkt werden darf, als der Zweck der Untersuchung oder die Anstaltsordnung es erfordern ( BGE 102 Ia 282 ff., 304 f.; BGE 99 Ia 270 E. IV). Das gleiche ergibt sich aus Art. 8 EMRK , der unter anderem die Freiheit des Briefverkehrs erwähnt und die Voraussetzungen für deren Einschränkung umschreibt (vgl. BGE 106 Ia 140 ). Die Kontrolle der Korrespondenz von Untersuchungsgefangenen ist mit Rücksicht auf den Untersuchungszweck unerlässlich und deshalb - von bestimmten Ausnahmefällen abgesehen - zulässig; diese BGE 107 Ia 148 S. 150 Zensur bildet denn auch als solche nicht Gegenstand der vorliegenden Beschwerde. Hingegen ist nicht einzusehen, weshalb der Briefverkehr von Häftlingen noch von anderen Personen als von dem mit der Kontrolle beauftragten Richter oder Beamten sollte eingesehen werden können. Der Zweck der Untersuchung erfordert dies nicht. Mit Gründen der Anstaltsordnung lässt sich die offene Weiterleitung der zensurierten Post ebenfalls nicht rechtfertigen. Es bedeutet keinen ins Gewicht fallenden Mehraufwand für den Untersuchungsrichter, den kontrollierten Brief mit einem Klebstreifen oder auf andere Art wieder zu verschliessen. In der deutschen Rechtslehre wird beispielsweise die Ansicht vertreten, der Richter habe die eingehende Post nach der Zensurlektüre in einem verschlossenen Begleitumschlag an den Untersuchungsgefangenen weiterzuleiten (Kommentar LÖWE/ROSENBERG zur deutschen Strafprozessordnung, 23. Aufl., Band 2, N. 107 zu § 119). Weder bei diesem noch bei einem allenfalls in Betracht zu ziehenden anderen System wird der Anstaltsbetrieb in untragbarer Weise erschwert oder der Untersuchungsrichter übermässig belastet, wenn die kontrollierte eingehende Post verschlossen an den Untersuchungsgefangenen weitergeleitet werden muss. Was die ausgehende Post betrifft, die zwar nicht Gegenstand der vorliegenden Beschwerde bildet, aber hier gleichwohl zu erwähnen ist, so kann ebenfalls nicht von einer unzumutbaren Erschwerung des Anstaltsbetriebs gesprochen werden, wenn dem Untersuchungsgefangenen gestattet wird, die von ihm verfassten Briefe in einem verschlossenen Kuvert dem Untersuchungsrichter zur Kontrolle zuzuleiten. Der Untersuchungsgefangene hat ein durchaus beachtliches Interesse an der verschlossenen Weiterleitung der zensurierten eingehenden Post. Der Eingriff in die Privatsphäre, der mit der Postkontrolle verbunden ist, wirkt sich ungleich schwerer aus, wenn nicht nur der Untersuchungsrichter, sondern auch die Gefängnisangestellten, mit denen der Untersuchungsgefangene in täglichem Kontakt steht, vom Inhalt der gesamten an ihn gerichteten Post Kenntnis erlangen können. Dass diese Angestellten ebenfalls dem Amtsgeheimnis unterstehen, lässt den Schutz - entgegen der Auffassung der Anklagekammer - nicht als entbehrlich erscheinen. Die Verletzung des verfassungsmässigen Rechtes auf die persönliche Intimsphäre liegt nicht bloss in der Gefahr, dass die Gefängnisangestellten ihre Kenntnisse nach aussen weitergeben könnten, sondern auch darin, dass sie diese überhaupt erlangen und allenfalls (ohne dadurch gegen Art. 320 StGB zu verstossen) gegenüber dem BGE 107 Ia 148 S. 151 Häftling selbst in der einen oder andern Form davon Gebrauch machen könnten. Die unverschlossene Weiterleitung der kontrollierten eingehenden Post bildet nach dem Gesagten eine "unnötige Strenge" gegenüber dem Untersuchungsgefangenen (Art. 122 Abs. 2 StrV) und stellt einen unverhältnismässigen Eingriff dar. Das Vorgehen des Untersuchungsrichters 6 von Bern ist daher unter dem Gesichtspunkt des verfassungsmässigen Rechtes auf die persönliche Geheimsphäre wie auch aufgrund von Art. 8 EMRK unzulässig. Die Beschwerde ist deshalb gutzuheissen und der Beschluss der Anklagekammer des Berner Obergerichts vom 21. Juli 1981 aufzuheben. Die Anklagekammer wird in ihrem neuen Entscheid auch die Kostenfrage unter Berücksichtigung des Umstandes neu zu regeln haben, dass der Beschwerdeführer mit seinen Anliegen teilweise durchgedrungen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